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4D2D" w14:textId="7781F962" w:rsidR="00AB45E8" w:rsidRDefault="00AB45E8" w:rsidP="00AB45E8">
      <w:pPr>
        <w:jc w:val="center"/>
        <w:rPr>
          <w:sz w:val="24"/>
          <w:szCs w:val="24"/>
        </w:rPr>
      </w:pPr>
      <w:r w:rsidRPr="00544100">
        <w:rPr>
          <w:rFonts w:ascii="KuenstlerScript Medium" w:hAnsi="KuenstlerScript Medium"/>
          <w:i/>
          <w:noProof/>
          <w:sz w:val="32"/>
          <w:szCs w:val="32"/>
          <w:lang w:val="es-419"/>
        </w:rPr>
        <w:drawing>
          <wp:inline distT="0" distB="0" distL="0" distR="0" wp14:anchorId="0B8073D1" wp14:editId="020000D3">
            <wp:extent cx="1771510" cy="1455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9"/>
                    <a:stretch/>
                  </pic:blipFill>
                  <pic:spPr bwMode="auto">
                    <a:xfrm>
                      <a:off x="0" y="0"/>
                      <a:ext cx="1775949" cy="14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BAEE1" w14:textId="75DDF117" w:rsidR="00AB45E8" w:rsidRPr="00AB45E8" w:rsidRDefault="00AB45E8" w:rsidP="00AB45E8">
      <w:pPr>
        <w:jc w:val="center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CONCORSO PER L’ASSUNZIONE DI N. 1 IMPIEGATO A CONTRATTO A TEMPO INDETERMINATO DA ADIBIRE AI SERVIZI DI ASSISTENTE AMMINISTRATIVO</w:t>
      </w:r>
    </w:p>
    <w:p w14:paraId="3AF96CA2" w14:textId="21F6EB65" w:rsidR="00AB45E8" w:rsidRPr="00AB45E8" w:rsidRDefault="00AB45E8" w:rsidP="00AB45E8">
      <w:pPr>
        <w:jc w:val="center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(Avviso affisso all’Albo dell’Ambasciata d’Italia a L’Avana in data 29/04/2026)</w:t>
      </w:r>
    </w:p>
    <w:p w14:paraId="498E76FE" w14:textId="77777777" w:rsidR="00AB45E8" w:rsidRDefault="00AB45E8" w:rsidP="006426CD">
      <w:pPr>
        <w:jc w:val="both"/>
        <w:rPr>
          <w:b/>
          <w:bCs/>
          <w:sz w:val="24"/>
          <w:szCs w:val="24"/>
        </w:rPr>
      </w:pPr>
    </w:p>
    <w:p w14:paraId="6182C470" w14:textId="1E554D98" w:rsidR="00AB45E8" w:rsidRPr="00AB45E8" w:rsidRDefault="00AB45E8" w:rsidP="006426CD">
      <w:pPr>
        <w:jc w:val="both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PROVA SCRITT</w:t>
      </w:r>
      <w:r>
        <w:rPr>
          <w:b/>
          <w:bCs/>
          <w:sz w:val="24"/>
          <w:szCs w:val="24"/>
        </w:rPr>
        <w:t>A -</w:t>
      </w:r>
      <w:r w:rsidRPr="00AB45E8">
        <w:rPr>
          <w:b/>
          <w:bCs/>
          <w:sz w:val="24"/>
          <w:szCs w:val="24"/>
        </w:rPr>
        <w:t xml:space="preserve"> TESTO N. 3</w:t>
      </w:r>
    </w:p>
    <w:p w14:paraId="65EC0F44" w14:textId="77777777" w:rsidR="00AB45E8" w:rsidRDefault="00AB45E8" w:rsidP="006426CD">
      <w:pPr>
        <w:jc w:val="both"/>
        <w:rPr>
          <w:sz w:val="24"/>
          <w:szCs w:val="24"/>
        </w:rPr>
      </w:pPr>
    </w:p>
    <w:p w14:paraId="5FD34E5C" w14:textId="61D65093" w:rsidR="00D1698C" w:rsidRPr="00CA2254" w:rsidRDefault="00AB45E8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CARATTERISTICHE E PRINCIPI DEL BILANCIO DI SEDE</w:t>
      </w:r>
    </w:p>
    <w:p w14:paraId="4871F750" w14:textId="77777777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Il Bilancio di Sede è un bilancio finanziario di cassa e NON di competenza. In quanto tale, il Bilancio di Sede riporta le entrate incassate e le spese pagate nel corso dell’esercizio, indipendentemente da quando sia sorto il diritto a riscuotere le entrate o l’impegno ad effettuare le spese.</w:t>
      </w:r>
    </w:p>
    <w:p w14:paraId="57299460" w14:textId="77777777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Esso prende pertanto in considerazione il momento della riscossione delle entrate e della liquidazione della spesa (e non invece quello dell’accertamento dell’entrata e dell’impegno della spesa, tipico del bilancio di competenza).</w:t>
      </w:r>
    </w:p>
    <w:p w14:paraId="712DF852" w14:textId="624C4E40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Da ciò discende che eventuali avanzi di gestione risultanti al 31 dicembre</w:t>
      </w:r>
      <w:r w:rsidR="00617742">
        <w:rPr>
          <w:sz w:val="24"/>
          <w:szCs w:val="24"/>
        </w:rPr>
        <w:t xml:space="preserve"> dell’anno di riferimento</w:t>
      </w:r>
      <w:r w:rsidRPr="00CA2254">
        <w:rPr>
          <w:sz w:val="24"/>
          <w:szCs w:val="24"/>
        </w:rPr>
        <w:t xml:space="preserve"> sono riportati all’esercizio successivo.</w:t>
      </w:r>
    </w:p>
    <w:p w14:paraId="0B9C4CA4" w14:textId="77777777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Il Bilancio di Sede è flessibile. Il D.P.R. n.54/2010 attribuisce infatti al Titolare della Sede il potere di variare la destinazione dei fondi iscritti in bilancio in relazione alle esigenze e all’andamento della gestione, attraverso lo strumento delle variazioni e degli storni di bilancio.</w:t>
      </w:r>
    </w:p>
    <w:p w14:paraId="0634E3F5" w14:textId="77777777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Il Bilancio di Sede è un bilancio autonomo, da intendersi come:</w:t>
      </w:r>
    </w:p>
    <w:p w14:paraId="19BB1F8E" w14:textId="02A2F224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- autonomia di spesa: le Sedi estere decidono autonomamente per quali finalità di spesa</w:t>
      </w:r>
      <w:r w:rsidR="006426CD">
        <w:rPr>
          <w:sz w:val="24"/>
          <w:szCs w:val="24"/>
        </w:rPr>
        <w:t xml:space="preserve"> </w:t>
      </w:r>
      <w:r w:rsidRPr="00CA2254">
        <w:rPr>
          <w:sz w:val="24"/>
          <w:szCs w:val="24"/>
        </w:rPr>
        <w:t>impiegare le risorse a disposizione, senza necessità di essere previamente autorizzate dall’Amministrazione centrale (salvo casi limitati ed eccezionali);</w:t>
      </w:r>
    </w:p>
    <w:p w14:paraId="3AB65D4F" w14:textId="77777777" w:rsidR="00D1698C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- autonomia di entrata: in aggiunta ai finanziamenti ministeriali, le Sedi estere possono disporre di entrate reperite autonomamente, tra cui i proventi delle sponsorizzazioni e delle donazioni, che vengono gestiti nel contesto di una disciplina più organica e semplificata. Sono inoltre acquisiti al bilancio interessi sul c/c di gestione (non quelli sul Conto Corrente Valuta Tesoro, che restano al Bilancio dello Stato), rimborsi IVA, canoni, proventi da alienazioni di beni mobili.</w:t>
      </w:r>
    </w:p>
    <w:p w14:paraId="395F93D8" w14:textId="40300780" w:rsidR="00CA2254" w:rsidRPr="00CA2254" w:rsidRDefault="00D1698C" w:rsidP="006426CD">
      <w:pPr>
        <w:jc w:val="both"/>
        <w:rPr>
          <w:sz w:val="24"/>
          <w:szCs w:val="24"/>
        </w:rPr>
      </w:pPr>
      <w:r w:rsidRPr="00CA2254">
        <w:rPr>
          <w:sz w:val="24"/>
          <w:szCs w:val="24"/>
        </w:rPr>
        <w:t>È infine consentita la possibilità di erogare servizi a pagamento a soggetti pubblici o privati e di organizzare corsi di lingua italiana, ove non siano presenti uffici ICE o Istituti italiani di Cultura.</w:t>
      </w:r>
    </w:p>
    <w:sectPr w:rsidR="00CA2254" w:rsidRPr="00CA2254" w:rsidSect="00093A8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enstlerScript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8C"/>
    <w:rsid w:val="00093A86"/>
    <w:rsid w:val="0020776B"/>
    <w:rsid w:val="00617742"/>
    <w:rsid w:val="006426CD"/>
    <w:rsid w:val="0096129D"/>
    <w:rsid w:val="00AB45E8"/>
    <w:rsid w:val="00BC31BA"/>
    <w:rsid w:val="00CA2254"/>
    <w:rsid w:val="00D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4618"/>
  <w15:chartTrackingRefBased/>
  <w15:docId w15:val="{DF66BF51-3BF2-457C-8E23-F8C4B4E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antonella.rezoagli</dc:creator>
  <cp:keywords/>
  <dc:description/>
  <cp:lastModifiedBy>michele.migliosi</cp:lastModifiedBy>
  <cp:revision>4</cp:revision>
  <dcterms:created xsi:type="dcterms:W3CDTF">2026-06-16T16:58:00Z</dcterms:created>
  <dcterms:modified xsi:type="dcterms:W3CDTF">2026-06-16T17:04:00Z</dcterms:modified>
</cp:coreProperties>
</file>